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3"/>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rPr>
              <w:t>河北中尚药业有限公司</w:t>
            </w:r>
            <w:bookmarkStart w:id="0" w:name="_GoBack"/>
            <w:bookmarkEnd w:id="0"/>
            <w:r>
              <w:rPr>
                <w:rFonts w:hint="eastAsia" w:ascii="宋体" w:hAnsi="宋体" w:eastAsia="宋体"/>
                <w:sz w:val="21"/>
                <w:szCs w:val="21"/>
              </w:rPr>
              <w:t>年产180吨黄芩苷项目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71BD3"/>
    <w:rsid w:val="00801AD8"/>
    <w:rsid w:val="32BD424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仿宋_GB2312" w:cs="Times New Roman"/>
      <w:kern w:val="2"/>
      <w:sz w:val="3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Indent"/>
    <w:basedOn w:val="1"/>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Pages>2</Pages>
  <Words>83</Words>
  <Characters>477</Characters>
  <Lines>3</Lines>
  <Paragraphs>1</Paragraphs>
  <TotalTime>2</TotalTime>
  <ScaleCrop>false</ScaleCrop>
  <LinksUpToDate>false</LinksUpToDate>
  <CharactersWithSpaces>559</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在水一方</cp:lastModifiedBy>
  <dcterms:modified xsi:type="dcterms:W3CDTF">2020-05-18T02:14:08Z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